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F5F47" w14:textId="77777777" w:rsidR="00531817" w:rsidRPr="00340275" w:rsidRDefault="00531817" w:rsidP="00EA5639">
      <w:pPr>
        <w:rPr>
          <w:b/>
        </w:rPr>
      </w:pPr>
      <w:r w:rsidRPr="00340275">
        <w:rPr>
          <w:b/>
        </w:rPr>
        <w:t xml:space="preserve">Duke MEDx Pilot Grants - Request for Applications 2017 </w:t>
      </w:r>
    </w:p>
    <w:p w14:paraId="3586F758" w14:textId="77777777" w:rsidR="00531817" w:rsidRDefault="00531817" w:rsidP="00EA5639">
      <w:r>
        <w:t xml:space="preserve">Application Deadline: 11:59 p.m. ET, </w:t>
      </w:r>
      <w:r w:rsidRPr="00780171">
        <w:t>January 19, 2017</w:t>
      </w:r>
      <w:r>
        <w:t xml:space="preserve"> </w:t>
      </w:r>
    </w:p>
    <w:p w14:paraId="15CBA890" w14:textId="77777777" w:rsidR="00EA5639" w:rsidRPr="00E71CFE" w:rsidRDefault="00EA5639" w:rsidP="00E71CFE">
      <w:pPr>
        <w:pStyle w:val="ListParagraph"/>
        <w:numPr>
          <w:ilvl w:val="0"/>
          <w:numId w:val="11"/>
        </w:numPr>
        <w:spacing w:before="240" w:after="120"/>
        <w:ind w:left="270" w:hanging="270"/>
        <w:contextualSpacing w:val="0"/>
        <w:rPr>
          <w:b/>
        </w:rPr>
      </w:pPr>
      <w:r w:rsidRPr="00E71CFE">
        <w:rPr>
          <w:b/>
        </w:rPr>
        <w:t>Purpose</w:t>
      </w:r>
    </w:p>
    <w:p w14:paraId="410E5BA1" w14:textId="77777777" w:rsidR="00531817" w:rsidRDefault="00531817" w:rsidP="00EA5639">
      <w:r>
        <w:t>Duke MEDx pilot project grants aim to</w:t>
      </w:r>
      <w:r w:rsidRPr="00780171">
        <w:t xml:space="preserve"> facilitate the formation of new collaborations between faculty in the Schools of Medicine and Engineering</w:t>
      </w:r>
      <w:r>
        <w:t xml:space="preserve">. For this cycle, MEDx is joined by </w:t>
      </w:r>
      <w:r w:rsidRPr="00780171">
        <w:t xml:space="preserve">the School of Medicine, the Duke Cardiovascular Research Center, and the Departments of Pathology, Biostatistics and Bioinformatics, Mechanical Engineering and Material Science, and Biomedical Engineering </w:t>
      </w:r>
      <w:r w:rsidR="00780171">
        <w:t>in sponsoring</w:t>
      </w:r>
      <w:r w:rsidRPr="00780171">
        <w:t xml:space="preserve"> pilot projects that address </w:t>
      </w:r>
      <w:r w:rsidRPr="00640F23">
        <w:rPr>
          <w:b/>
        </w:rPr>
        <w:t>basic research in the biomedical sciences or the development of tools or technologies that enable or enhance biomedical discovery</w:t>
      </w:r>
      <w:r>
        <w:t xml:space="preserve">. Projects must demonstrate a new collaboration between regular faculty in Engineering and Medicine, and a path to subsequent support, be that through grants, not-for-profit partnering, new company formation, licensing, or other channels. These awards are not meant </w:t>
      </w:r>
      <w:r w:rsidR="00780171">
        <w:t>to provide</w:t>
      </w:r>
      <w:r>
        <w:t xml:space="preserve"> bridge funding or </w:t>
      </w:r>
      <w:r w:rsidR="00640F23">
        <w:t>be</w:t>
      </w:r>
      <w:r>
        <w:t xml:space="preserve"> supplementary funding for existing projects. </w:t>
      </w:r>
    </w:p>
    <w:p w14:paraId="5EDDF59F" w14:textId="77777777" w:rsidR="00E26918" w:rsidRDefault="00E26918" w:rsidP="00EA5639">
      <w:r>
        <w:t>The awards are up to $50,000 (direct costs only, and no faculty effort may be included).</w:t>
      </w:r>
    </w:p>
    <w:p w14:paraId="0424AF34" w14:textId="77777777" w:rsidR="00E26918" w:rsidRPr="00E71CFE" w:rsidRDefault="00531817" w:rsidP="00E71CFE">
      <w:pPr>
        <w:spacing w:before="200" w:after="120"/>
        <w:ind w:left="-360" w:firstLine="360"/>
        <w:rPr>
          <w:rFonts w:ascii="Verdana" w:eastAsia="Times New Roman" w:hAnsi="Verdana" w:cs="Times New Roman"/>
          <w:b/>
          <w:color w:val="5A5A5A"/>
          <w:sz w:val="23"/>
          <w:szCs w:val="23"/>
        </w:rPr>
      </w:pPr>
      <w:r w:rsidRPr="00E71CFE">
        <w:rPr>
          <w:b/>
        </w:rPr>
        <w:t xml:space="preserve">II. Key Dates </w:t>
      </w:r>
    </w:p>
    <w:p w14:paraId="0E621A96" w14:textId="77777777" w:rsidR="00E26918" w:rsidRPr="00780171" w:rsidRDefault="00531817" w:rsidP="00EA5639">
      <w:pPr>
        <w:pStyle w:val="ListParagraph"/>
        <w:numPr>
          <w:ilvl w:val="0"/>
          <w:numId w:val="2"/>
        </w:numPr>
        <w:spacing w:before="120" w:after="100" w:afterAutospacing="1"/>
        <w:rPr>
          <w:rFonts w:ascii="Verdana" w:eastAsia="Times New Roman" w:hAnsi="Verdana" w:cs="Times New Roman"/>
          <w:color w:val="5A5A5A"/>
          <w:sz w:val="23"/>
          <w:szCs w:val="23"/>
        </w:rPr>
      </w:pPr>
      <w:r>
        <w:t xml:space="preserve">Application Submission Deadline: </w:t>
      </w:r>
      <w:r w:rsidR="00E26918">
        <w:t>January 19</w:t>
      </w:r>
      <w:r>
        <w:t>, 201</w:t>
      </w:r>
      <w:r w:rsidR="00E26918">
        <w:t>7</w:t>
      </w:r>
      <w:r>
        <w:t xml:space="preserve"> </w:t>
      </w:r>
    </w:p>
    <w:p w14:paraId="64A2A4E9" w14:textId="77777777" w:rsidR="00E26918" w:rsidRPr="00780171" w:rsidRDefault="00531817" w:rsidP="00EA5639">
      <w:pPr>
        <w:pStyle w:val="ListParagraph"/>
        <w:numPr>
          <w:ilvl w:val="0"/>
          <w:numId w:val="2"/>
        </w:numPr>
        <w:spacing w:before="120" w:after="100" w:afterAutospacing="1"/>
        <w:rPr>
          <w:rFonts w:ascii="Verdana" w:eastAsia="Times New Roman" w:hAnsi="Verdana" w:cs="Times New Roman"/>
          <w:color w:val="5A5A5A"/>
          <w:sz w:val="23"/>
          <w:szCs w:val="23"/>
        </w:rPr>
      </w:pPr>
      <w:r>
        <w:t>Selection of Awardees</w:t>
      </w:r>
      <w:r w:rsidR="00780171">
        <w:t>:</w:t>
      </w:r>
      <w:r w:rsidR="00E26918" w:rsidRPr="00780171">
        <w:t xml:space="preserve"> Target</w:t>
      </w:r>
      <w:r w:rsidR="00780171">
        <w:t xml:space="preserve"> date</w:t>
      </w:r>
      <w:r w:rsidR="00E26918" w:rsidRPr="00780171">
        <w:t xml:space="preserve"> is March </w:t>
      </w:r>
      <w:r w:rsidR="00133954">
        <w:t>27</w:t>
      </w:r>
      <w:r w:rsidR="00E26918" w:rsidRPr="00780171">
        <w:t>, 2017</w:t>
      </w:r>
      <w:r>
        <w:t xml:space="preserve"> </w:t>
      </w:r>
    </w:p>
    <w:p w14:paraId="4E9D763B" w14:textId="77777777" w:rsidR="00E26918" w:rsidRPr="00780171" w:rsidRDefault="00531817" w:rsidP="00EA5639">
      <w:pPr>
        <w:pStyle w:val="ListParagraph"/>
        <w:numPr>
          <w:ilvl w:val="0"/>
          <w:numId w:val="2"/>
        </w:numPr>
        <w:spacing w:before="120" w:after="100" w:afterAutospacing="1"/>
        <w:rPr>
          <w:rFonts w:ascii="Verdana" w:eastAsia="Times New Roman" w:hAnsi="Verdana" w:cs="Times New Roman"/>
          <w:color w:val="5A5A5A"/>
          <w:sz w:val="23"/>
          <w:szCs w:val="23"/>
        </w:rPr>
      </w:pPr>
      <w:r>
        <w:t xml:space="preserve">Funding Period: The budget period is for 12 months beginning </w:t>
      </w:r>
      <w:r w:rsidR="00133954">
        <w:t>on the date of award.</w:t>
      </w:r>
    </w:p>
    <w:p w14:paraId="09CD8B61" w14:textId="77777777" w:rsidR="00E26918" w:rsidRPr="00E71CFE" w:rsidRDefault="00531817" w:rsidP="00E71CFE">
      <w:pPr>
        <w:spacing w:before="240" w:after="120"/>
        <w:rPr>
          <w:b/>
        </w:rPr>
      </w:pPr>
      <w:r>
        <w:t xml:space="preserve"> </w:t>
      </w:r>
      <w:r w:rsidRPr="00E71CFE">
        <w:rPr>
          <w:b/>
        </w:rPr>
        <w:t xml:space="preserve">III. Eligibility </w:t>
      </w:r>
    </w:p>
    <w:p w14:paraId="2D68C8D4" w14:textId="77777777" w:rsidR="00780171" w:rsidRDefault="00531817" w:rsidP="00EA5639">
      <w:r>
        <w:t xml:space="preserve">Proposed projects must </w:t>
      </w:r>
      <w:r w:rsidR="00E26918">
        <w:t>be jointly submitte</w:t>
      </w:r>
      <w:r w:rsidR="00E26918" w:rsidRPr="00133954">
        <w:t xml:space="preserve">d </w:t>
      </w:r>
      <w:r w:rsidR="00640F23">
        <w:t xml:space="preserve">by </w:t>
      </w:r>
      <w:r w:rsidR="00E26918" w:rsidRPr="00133954">
        <w:t>a faculty member from Pratt School of Engineering</w:t>
      </w:r>
      <w:r w:rsidRPr="00133954">
        <w:t xml:space="preserve"> and a </w:t>
      </w:r>
      <w:r w:rsidR="00E26918" w:rsidRPr="00133954">
        <w:t xml:space="preserve">faculty member from the School of Medicine. </w:t>
      </w:r>
      <w:r w:rsidRPr="00133954">
        <w:t xml:space="preserve">Proposals are encouraged from new teams of investigators </w:t>
      </w:r>
      <w:r w:rsidR="00E26918" w:rsidRPr="00133954">
        <w:t xml:space="preserve">or existing collaborators proposing a new research </w:t>
      </w:r>
      <w:r w:rsidR="00640F23">
        <w:t>topic</w:t>
      </w:r>
      <w:r w:rsidRPr="00133954">
        <w:t xml:space="preserve">. Applicants must have a full-time faculty appointment. More than one proposal may be submitted per </w:t>
      </w:r>
      <w:r w:rsidR="00E26918" w:rsidRPr="00133954">
        <w:t xml:space="preserve">Pratt and Medicine </w:t>
      </w:r>
      <w:r w:rsidRPr="00133954">
        <w:t>faculty member acting as PI</w:t>
      </w:r>
      <w:r w:rsidR="00CC5B9D" w:rsidRPr="00133954">
        <w:t>, but each PI may only receive one grant</w:t>
      </w:r>
      <w:r w:rsidRPr="00133954">
        <w:t xml:space="preserve">. </w:t>
      </w:r>
      <w:r w:rsidR="00780171" w:rsidRPr="00133954">
        <w:t>T</w:t>
      </w:r>
      <w:r w:rsidRPr="00133954">
        <w:t xml:space="preserve">eams whose proposal for the </w:t>
      </w:r>
      <w:r w:rsidR="00780171" w:rsidRPr="00133954">
        <w:t xml:space="preserve">2016 MEDx RFA </w:t>
      </w:r>
      <w:r w:rsidRPr="00133954">
        <w:t>w</w:t>
      </w:r>
      <w:r w:rsidR="00E71CFE" w:rsidRPr="00133954">
        <w:t>as</w:t>
      </w:r>
      <w:r w:rsidRPr="00133954">
        <w:t xml:space="preserve"> not selected for funding may </w:t>
      </w:r>
      <w:r w:rsidR="00E71CFE" w:rsidRPr="00133954">
        <w:t>re</w:t>
      </w:r>
      <w:r w:rsidRPr="00133954">
        <w:t>submit</w:t>
      </w:r>
      <w:r>
        <w:t xml:space="preserve"> </w:t>
      </w:r>
      <w:r w:rsidR="00E71CFE">
        <w:t>the</w:t>
      </w:r>
      <w:r>
        <w:t xml:space="preserve"> </w:t>
      </w:r>
      <w:r w:rsidR="00E71CFE">
        <w:t xml:space="preserve">proposal </w:t>
      </w:r>
      <w:r w:rsidR="00E71CFE" w:rsidRPr="00E71CFE">
        <w:rPr>
          <w:u w:val="single"/>
        </w:rPr>
        <w:t xml:space="preserve">if it meets the requirements </w:t>
      </w:r>
      <w:r w:rsidR="00780171" w:rsidRPr="00E71CFE">
        <w:rPr>
          <w:u w:val="single"/>
        </w:rPr>
        <w:t>for this announcement</w:t>
      </w:r>
      <w:r>
        <w:t xml:space="preserve">. </w:t>
      </w:r>
    </w:p>
    <w:p w14:paraId="27ED3686" w14:textId="77777777" w:rsidR="00E3093B" w:rsidRDefault="00531817" w:rsidP="00EA5639">
      <w:r>
        <w:t>See “VI</w:t>
      </w:r>
      <w:r w:rsidR="00E71CFE">
        <w:t>I</w:t>
      </w:r>
      <w:r>
        <w:t xml:space="preserve">. Application Procedure” for more details. Interested investigators who need assistance identifying collaborators </w:t>
      </w:r>
      <w:r w:rsidR="00780171">
        <w:t>can contact MEDx for assistance</w:t>
      </w:r>
      <w:r w:rsidR="00E71CFE">
        <w:t xml:space="preserve"> as described in “V. Proposal Preparation”</w:t>
      </w:r>
      <w:r w:rsidR="00780171">
        <w:t>.</w:t>
      </w:r>
    </w:p>
    <w:p w14:paraId="52516D6C" w14:textId="77777777" w:rsidR="00E71CFE" w:rsidRDefault="00E71CFE" w:rsidP="00E71CFE">
      <w:pPr>
        <w:spacing w:before="240" w:after="120"/>
      </w:pPr>
      <w:r w:rsidRPr="00E71CFE">
        <w:rPr>
          <w:b/>
        </w:rPr>
        <w:t>IV</w:t>
      </w:r>
      <w:r w:rsidR="00780171" w:rsidRPr="00E71CFE">
        <w:rPr>
          <w:b/>
        </w:rPr>
        <w:t>. Funding</w:t>
      </w:r>
      <w:r w:rsidR="00780171">
        <w:t xml:space="preserve"> </w:t>
      </w:r>
    </w:p>
    <w:p w14:paraId="18DFB1A9" w14:textId="77777777" w:rsidR="00780171" w:rsidRDefault="00780171" w:rsidP="00EA5639">
      <w:r>
        <w:t xml:space="preserve">Each award will consist of up to $50,000 (direct costs only) with an expected start date no later than May 1, 2017 and ending on April 30, 2018. </w:t>
      </w:r>
      <w:r w:rsidR="00640F23">
        <w:t>Successful applicants will be expected to provide a mid-term progress update and a final report indicating progress towards the stated objectives and achieving follow-up funding, any publications that are in progress, and other achievements.</w:t>
      </w:r>
    </w:p>
    <w:p w14:paraId="58AF69AC" w14:textId="77777777" w:rsidR="00E71CFE" w:rsidRDefault="00780171" w:rsidP="00E71CFE">
      <w:pPr>
        <w:spacing w:before="240" w:after="120"/>
      </w:pPr>
      <w:r w:rsidRPr="00E71CFE">
        <w:rPr>
          <w:b/>
        </w:rPr>
        <w:t>V. Proposal Preparation</w:t>
      </w:r>
      <w:r>
        <w:t xml:space="preserve"> </w:t>
      </w:r>
    </w:p>
    <w:p w14:paraId="5C75DE0C" w14:textId="77777777" w:rsidR="00780171" w:rsidRDefault="00780171" w:rsidP="00EA5639">
      <w:r>
        <w:t xml:space="preserve">Consultation is optional. If you wish to consult with a member of the MEDx team, please see the calendar for office hours (the MEDx Café) </w:t>
      </w:r>
      <w:hyperlink r:id="rId6" w:history="1">
        <w:r w:rsidRPr="00780171">
          <w:rPr>
            <w:rStyle w:val="Hyperlink"/>
          </w:rPr>
          <w:t>here</w:t>
        </w:r>
      </w:hyperlink>
      <w:r>
        <w:t xml:space="preserve">. We advise you to let </w:t>
      </w:r>
      <w:hyperlink r:id="rId7" w:history="1">
        <w:r w:rsidRPr="007C0276">
          <w:rPr>
            <w:rStyle w:val="Hyperlink"/>
          </w:rPr>
          <w:t>Julia Walker</w:t>
        </w:r>
      </w:hyperlink>
      <w:r>
        <w:t xml:space="preserve"> know if you are planning to attend</w:t>
      </w:r>
      <w:r w:rsidR="007C0276">
        <w:t xml:space="preserve"> or need to meet with someone outside of the MEDx Café times.</w:t>
      </w:r>
    </w:p>
    <w:p w14:paraId="30D46826" w14:textId="77777777" w:rsidR="007C0276" w:rsidRPr="00E71CFE" w:rsidRDefault="007C0276" w:rsidP="00E71CFE">
      <w:pPr>
        <w:spacing w:before="240" w:after="120"/>
        <w:rPr>
          <w:b/>
        </w:rPr>
      </w:pPr>
      <w:r w:rsidRPr="00E71CFE">
        <w:rPr>
          <w:b/>
        </w:rPr>
        <w:t xml:space="preserve">VI. Review </w:t>
      </w:r>
      <w:r w:rsidR="00E71CFE">
        <w:rPr>
          <w:b/>
        </w:rPr>
        <w:t xml:space="preserve">process and </w:t>
      </w:r>
      <w:r w:rsidRPr="00E71CFE">
        <w:rPr>
          <w:b/>
        </w:rPr>
        <w:t xml:space="preserve">Criteria </w:t>
      </w:r>
    </w:p>
    <w:p w14:paraId="5FAC41F6" w14:textId="77777777" w:rsidR="0044501F" w:rsidRDefault="007C0276" w:rsidP="00EA5639">
      <w:pPr>
        <w:autoSpaceDE w:val="0"/>
        <w:autoSpaceDN w:val="0"/>
        <w:adjustRightInd w:val="0"/>
        <w:spacing w:after="0"/>
      </w:pPr>
      <w:r>
        <w:lastRenderedPageBreak/>
        <w:t xml:space="preserve">A Review Committee comprised of researchers and engineers will review the applications and select the finalists. The Review Committee will consider the following criteria when reviewing and scoring applications: </w:t>
      </w:r>
    </w:p>
    <w:p w14:paraId="6E6B5122" w14:textId="77777777" w:rsidR="0044501F" w:rsidRDefault="007C0276" w:rsidP="00EA56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0"/>
        <w:ind w:left="360"/>
        <w:contextualSpacing w:val="0"/>
      </w:pPr>
      <w:r>
        <w:t xml:space="preserve">Significance – The novelty, uniqueness and impact of the opportunity presented by the proposal; opportunities that provide generalizable solutions to translational research problems are highly encouraged. </w:t>
      </w:r>
    </w:p>
    <w:p w14:paraId="26146C3B" w14:textId="77777777" w:rsidR="0044501F" w:rsidRDefault="007C0276" w:rsidP="00EA56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0"/>
        <w:ind w:left="360"/>
        <w:contextualSpacing w:val="0"/>
      </w:pPr>
      <w:r>
        <w:t xml:space="preserve">Approach – Methods and analyses used are well-reasoned and suitable to complete value recognition studies and proposed specific aims. </w:t>
      </w:r>
    </w:p>
    <w:p w14:paraId="7888D60B" w14:textId="77777777" w:rsidR="00EA5639" w:rsidRDefault="007C0276" w:rsidP="00EA56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0"/>
        <w:ind w:left="360"/>
      </w:pPr>
      <w:r>
        <w:t xml:space="preserve">Feasibility – Project scope of work is appropriate for the </w:t>
      </w:r>
      <w:r w:rsidR="00EA5639">
        <w:t>timeframe and level of funding.</w:t>
      </w:r>
    </w:p>
    <w:p w14:paraId="34885032" w14:textId="77777777" w:rsidR="00D9200A" w:rsidRPr="00EA5639" w:rsidRDefault="007C0276" w:rsidP="00EA56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0"/>
        <w:ind w:left="360"/>
      </w:pPr>
      <w:r>
        <w:t xml:space="preserve">Collaboration – </w:t>
      </w:r>
      <w:r w:rsidR="00D9200A" w:rsidRPr="0044501F">
        <w:t>Collaboration of investigators provides complementary laboratory and engineering skills and expertise, and the team has access to the required resources to complete the work.</w:t>
      </w:r>
    </w:p>
    <w:p w14:paraId="6C794CBA" w14:textId="77777777" w:rsidR="00D9200A" w:rsidRPr="00E71CFE" w:rsidRDefault="00D9200A" w:rsidP="00E71CFE">
      <w:pPr>
        <w:spacing w:before="240" w:after="120"/>
        <w:rPr>
          <w:b/>
        </w:rPr>
      </w:pPr>
      <w:r w:rsidRPr="00E71CFE">
        <w:rPr>
          <w:b/>
        </w:rPr>
        <w:t>VII. Application Procedure</w:t>
      </w:r>
    </w:p>
    <w:p w14:paraId="04816F1D" w14:textId="77777777" w:rsidR="00D9200A" w:rsidRDefault="00D9200A" w:rsidP="00EA5639">
      <w:r>
        <w:t>MEDx uses the MyResearchProposal online application software to submit applications.</w:t>
      </w:r>
    </w:p>
    <w:p w14:paraId="7490629B" w14:textId="77777777" w:rsidR="00D9200A" w:rsidRDefault="00D9200A" w:rsidP="00EA5639">
      <w:pPr>
        <w:pStyle w:val="ListParagraph"/>
        <w:numPr>
          <w:ilvl w:val="0"/>
          <w:numId w:val="2"/>
        </w:numPr>
      </w:pPr>
      <w:r>
        <w:t>To apply</w:t>
      </w:r>
      <w:r w:rsidR="00340275">
        <w:t>,</w:t>
      </w:r>
      <w:r>
        <w:t xml:space="preserve"> visit </w:t>
      </w:r>
      <w:hyperlink r:id="rId8" w:history="1">
        <w:r w:rsidRPr="00D9200A">
          <w:rPr>
            <w:rStyle w:val="Hyperlink"/>
          </w:rPr>
          <w:t>http://bit.ly/myresearchproposal</w:t>
        </w:r>
      </w:hyperlink>
      <w:r>
        <w:t xml:space="preserve">, click on “Create New User” (or log in if you already have an account). Proposals </w:t>
      </w:r>
      <w:r w:rsidR="00340275">
        <w:t>may</w:t>
      </w:r>
      <w:r>
        <w:t xml:space="preserve"> be submitted under </w:t>
      </w:r>
      <w:r w:rsidR="00340275">
        <w:t>either (only one)</w:t>
      </w:r>
      <w:r>
        <w:t xml:space="preserve"> of the co-investigator</w:t>
      </w:r>
      <w:r w:rsidR="00375370">
        <w:t>’</w:t>
      </w:r>
      <w:r>
        <w:t xml:space="preserve">s (i.e. Engineering or Medicine) </w:t>
      </w:r>
      <w:r w:rsidR="00375370">
        <w:t>accounts in MyResearchProposal</w:t>
      </w:r>
      <w:r>
        <w:t xml:space="preserve">. </w:t>
      </w:r>
    </w:p>
    <w:p w14:paraId="6223C18D" w14:textId="77777777" w:rsidR="00D9200A" w:rsidRDefault="00340275" w:rsidP="00EA5639">
      <w:pPr>
        <w:pStyle w:val="ListParagraph"/>
        <w:numPr>
          <w:ilvl w:val="0"/>
          <w:numId w:val="2"/>
        </w:numPr>
      </w:pPr>
      <w:r w:rsidRPr="00340275">
        <w:t>A step-by-step user’s guide for applying via the DTMI MyResearchProposal software is available</w:t>
      </w:r>
      <w:r w:rsidR="009B0908">
        <w:t xml:space="preserve"> – </w:t>
      </w:r>
      <w:hyperlink r:id="rId9" w:history="1">
        <w:r w:rsidR="009B0908" w:rsidRPr="009B0908">
          <w:rPr>
            <w:rStyle w:val="Hyperlink"/>
          </w:rPr>
          <w:t>here</w:t>
        </w:r>
      </w:hyperlink>
      <w:r w:rsidR="009B0908">
        <w:t>.</w:t>
      </w:r>
    </w:p>
    <w:p w14:paraId="10C53822" w14:textId="77777777" w:rsidR="00D9200A" w:rsidRDefault="00D9200A" w:rsidP="00EA5639">
      <w:pPr>
        <w:pStyle w:val="ListParagraph"/>
        <w:numPr>
          <w:ilvl w:val="0"/>
          <w:numId w:val="2"/>
        </w:numPr>
      </w:pPr>
      <w:r>
        <w:t>Enter Access Code ‘</w:t>
      </w:r>
      <w:r w:rsidRPr="0070047B">
        <w:t>MEDX’ then</w:t>
      </w:r>
      <w:r>
        <w:t xml:space="preserve"> select the “MEDx Pilot Project 2017” funding opportunity and follow the instructions.</w:t>
      </w:r>
      <w:bookmarkStart w:id="0" w:name="_GoBack"/>
      <w:bookmarkEnd w:id="0"/>
    </w:p>
    <w:p w14:paraId="79073821" w14:textId="77777777" w:rsidR="00E71CFE" w:rsidRDefault="00D9200A" w:rsidP="00EA5639">
      <w:r>
        <w:t>Applicants will enter general project information via the web-based form</w:t>
      </w:r>
      <w:r w:rsidR="0044501F">
        <w:t xml:space="preserve"> (</w:t>
      </w:r>
      <w:r>
        <w:t>Co-Investigators from Pratt and Medicine: Name, rank, department, and email address</w:t>
      </w:r>
      <w:r w:rsidR="0044501F">
        <w:t xml:space="preserve">) and proposal sections will be uploaded as individual PDF files. </w:t>
      </w:r>
    </w:p>
    <w:p w14:paraId="25014AA4" w14:textId="77777777" w:rsidR="008C4371" w:rsidRDefault="008C4371" w:rsidP="00EA5639">
      <w:r w:rsidRPr="008C4371">
        <w:t xml:space="preserve">Use </w:t>
      </w:r>
      <w:r>
        <w:t>0.5</w:t>
      </w:r>
      <w:r w:rsidRPr="008C4371">
        <w:t>-inch margins and the font of your choice must be at least 11pt. </w:t>
      </w:r>
    </w:p>
    <w:p w14:paraId="3D994AC6" w14:textId="77777777" w:rsidR="0044501F" w:rsidRDefault="0044501F" w:rsidP="00E71CFE">
      <w:pPr>
        <w:spacing w:after="120"/>
      </w:pPr>
      <w:r>
        <w:t>The application sections are:</w:t>
      </w:r>
    </w:p>
    <w:p w14:paraId="3CD65590" w14:textId="77777777" w:rsidR="0044501F" w:rsidRPr="0044501F" w:rsidRDefault="0044501F" w:rsidP="00EA5639">
      <w:pPr>
        <w:pStyle w:val="ListParagraph"/>
        <w:numPr>
          <w:ilvl w:val="0"/>
          <w:numId w:val="6"/>
        </w:numPr>
        <w:spacing w:before="120" w:after="60"/>
        <w:contextualSpacing w:val="0"/>
      </w:pPr>
      <w:r w:rsidRPr="0044501F">
        <w:t>Project Summary – limited to one page. Required sections: Project Title (one line), Collaborators, Overview, Objectives/Aims, Expected Outcomes, Budget Amount Requested, Period of Performance</w:t>
      </w:r>
    </w:p>
    <w:p w14:paraId="059D41AB" w14:textId="77777777" w:rsidR="0044501F" w:rsidRPr="0044501F" w:rsidRDefault="0044501F" w:rsidP="00EA5639">
      <w:pPr>
        <w:pStyle w:val="ListParagraph"/>
        <w:numPr>
          <w:ilvl w:val="0"/>
          <w:numId w:val="6"/>
        </w:numPr>
        <w:spacing w:after="60"/>
        <w:contextualSpacing w:val="0"/>
      </w:pPr>
      <w:r w:rsidRPr="0044501F">
        <w:t>Project Description – limited to five pages. Required sections: Background, Research Plan &amp; Methods (</w:t>
      </w:r>
      <w:r w:rsidR="00E71CFE">
        <w:t>b</w:t>
      </w:r>
      <w:r>
        <w:t>riefly d</w:t>
      </w:r>
      <w:r w:rsidRPr="0044501F">
        <w:t xml:space="preserve">escribe </w:t>
      </w:r>
      <w:r>
        <w:t xml:space="preserve">the </w:t>
      </w:r>
      <w:r w:rsidRPr="0044501F">
        <w:t>need for any institutional</w:t>
      </w:r>
      <w:r>
        <w:t>, IRB, or IAC</w:t>
      </w:r>
      <w:r w:rsidRPr="0044501F">
        <w:t>UC approvals</w:t>
      </w:r>
      <w:r>
        <w:t xml:space="preserve">; approval is not required </w:t>
      </w:r>
      <w:r w:rsidR="00E71CFE">
        <w:t>prior to submission</w:t>
      </w:r>
      <w:r w:rsidRPr="0044501F">
        <w:t>)</w:t>
      </w:r>
      <w:r w:rsidR="00E71CFE">
        <w:t>.</w:t>
      </w:r>
      <w:r w:rsidRPr="0044501F">
        <w:t xml:space="preserve"> Timeline &amp; Responsibilities of Collaborators, Team Science Strategy, Scientific Impact, and a brief description of Future Funding Opportunities.</w:t>
      </w:r>
    </w:p>
    <w:p w14:paraId="7CECF41D" w14:textId="77777777" w:rsidR="0044501F" w:rsidRPr="0044501F" w:rsidRDefault="0044501F" w:rsidP="00EA5639">
      <w:pPr>
        <w:pStyle w:val="ListParagraph"/>
        <w:numPr>
          <w:ilvl w:val="0"/>
          <w:numId w:val="6"/>
        </w:numPr>
        <w:spacing w:after="60"/>
        <w:contextualSpacing w:val="0"/>
      </w:pPr>
      <w:r w:rsidRPr="0044501F">
        <w:t xml:space="preserve">Budget Justification – limited to one page. Include a description of how funds will be allocated between collaborators. Indirect costs and faculty effort may not be included. </w:t>
      </w:r>
    </w:p>
    <w:p w14:paraId="295E092D" w14:textId="77777777" w:rsidR="0044501F" w:rsidRPr="0044501F" w:rsidRDefault="0044501F" w:rsidP="00EA5639">
      <w:pPr>
        <w:pStyle w:val="ListParagraph"/>
        <w:numPr>
          <w:ilvl w:val="0"/>
          <w:numId w:val="6"/>
        </w:numPr>
        <w:spacing w:after="60"/>
        <w:contextualSpacing w:val="0"/>
      </w:pPr>
      <w:r w:rsidRPr="0044501F">
        <w:t>Citations – An additional page may be included for citations.</w:t>
      </w:r>
    </w:p>
    <w:p w14:paraId="1792DAF1" w14:textId="77777777" w:rsidR="0044501F" w:rsidRDefault="0044501F" w:rsidP="00EA5639">
      <w:pPr>
        <w:pStyle w:val="ListParagraph"/>
        <w:numPr>
          <w:ilvl w:val="0"/>
          <w:numId w:val="6"/>
        </w:numPr>
        <w:spacing w:after="60"/>
        <w:contextualSpacing w:val="0"/>
      </w:pPr>
      <w:proofErr w:type="spellStart"/>
      <w:r w:rsidRPr="0044501F">
        <w:t>Biosketches</w:t>
      </w:r>
      <w:proofErr w:type="spellEnd"/>
      <w:r w:rsidRPr="0044501F">
        <w:t xml:space="preserve"> of PIs – in NIH format, limited to 5 pages per biosketch, with personal statement emphasizing the importance of and the professional preparation for the proposed work.</w:t>
      </w:r>
    </w:p>
    <w:p w14:paraId="77E60FFC" w14:textId="77777777" w:rsidR="0044501F" w:rsidRPr="00E71CFE" w:rsidRDefault="00E71CFE" w:rsidP="00E71CFE">
      <w:pPr>
        <w:spacing w:before="240" w:after="120"/>
        <w:rPr>
          <w:b/>
        </w:rPr>
      </w:pPr>
      <w:r w:rsidRPr="00E71CFE">
        <w:rPr>
          <w:b/>
        </w:rPr>
        <w:t>VIII.</w:t>
      </w:r>
      <w:r w:rsidR="0044501F" w:rsidRPr="00E71CFE">
        <w:rPr>
          <w:b/>
        </w:rPr>
        <w:t xml:space="preserve"> Budget Guidelines </w:t>
      </w:r>
    </w:p>
    <w:p w14:paraId="50003ED7" w14:textId="77777777" w:rsidR="00EA5639" w:rsidRDefault="0044501F" w:rsidP="00EA5639">
      <w:pPr>
        <w:spacing w:after="60"/>
      </w:pPr>
      <w:r>
        <w:t>The budget period is for 12 months. Up to $</w:t>
      </w:r>
      <w:r w:rsidR="00EA5639">
        <w:t>50</w:t>
      </w:r>
      <w:r>
        <w:t xml:space="preserve">,000 in direct costs may be requested. </w:t>
      </w:r>
      <w:r w:rsidR="00133954">
        <w:t xml:space="preserve">If Institutional Review Board (IRB) or Institutional Animal Care and Use Committee (IACUC) review </w:t>
      </w:r>
      <w:r w:rsidR="008C4371">
        <w:t>or</w:t>
      </w:r>
      <w:r w:rsidR="00133954">
        <w:t xml:space="preserve"> approval is required, funding will not be released until such</w:t>
      </w:r>
      <w:r>
        <w:t xml:space="preserve"> </w:t>
      </w:r>
      <w:r w:rsidR="00EA5639">
        <w:t>approval is obtained</w:t>
      </w:r>
      <w:r>
        <w:t xml:space="preserve">. </w:t>
      </w:r>
    </w:p>
    <w:p w14:paraId="3477A788" w14:textId="77777777" w:rsidR="00EA5639" w:rsidRDefault="0044501F" w:rsidP="00EA5639">
      <w:pPr>
        <w:pStyle w:val="ListParagraph"/>
        <w:numPr>
          <w:ilvl w:val="0"/>
          <w:numId w:val="8"/>
        </w:numPr>
        <w:spacing w:after="60"/>
      </w:pPr>
      <w:r>
        <w:lastRenderedPageBreak/>
        <w:t xml:space="preserve">Grant funds may be budgeted for: </w:t>
      </w:r>
    </w:p>
    <w:p w14:paraId="6D62D5AF" w14:textId="77777777" w:rsidR="00EA5639" w:rsidRDefault="0044501F" w:rsidP="00EA5639">
      <w:pPr>
        <w:pStyle w:val="ListParagraph"/>
        <w:numPr>
          <w:ilvl w:val="0"/>
          <w:numId w:val="9"/>
        </w:numPr>
        <w:tabs>
          <w:tab w:val="left" w:pos="1080"/>
        </w:tabs>
        <w:spacing w:after="60"/>
        <w:ind w:left="1080"/>
      </w:pPr>
      <w:r>
        <w:t xml:space="preserve">Research support personnel </w:t>
      </w:r>
      <w:r w:rsidR="00EA5639">
        <w:t>or students/trainees</w:t>
      </w:r>
    </w:p>
    <w:p w14:paraId="03AC8D25" w14:textId="77777777" w:rsidR="00EA5639" w:rsidRDefault="0044501F" w:rsidP="00EA5639">
      <w:pPr>
        <w:pStyle w:val="ListParagraph"/>
        <w:numPr>
          <w:ilvl w:val="0"/>
          <w:numId w:val="9"/>
        </w:numPr>
        <w:tabs>
          <w:tab w:val="left" w:pos="1080"/>
        </w:tabs>
        <w:spacing w:after="60"/>
        <w:ind w:left="1080"/>
      </w:pPr>
      <w:r>
        <w:t xml:space="preserve">Small equipment, research supplies and core lab costs, or </w:t>
      </w:r>
    </w:p>
    <w:p w14:paraId="0DAF6D95" w14:textId="77777777" w:rsidR="0044501F" w:rsidRDefault="0044501F" w:rsidP="00EA5639">
      <w:pPr>
        <w:pStyle w:val="ListParagraph"/>
        <w:numPr>
          <w:ilvl w:val="0"/>
          <w:numId w:val="9"/>
        </w:numPr>
        <w:tabs>
          <w:tab w:val="left" w:pos="1080"/>
        </w:tabs>
        <w:spacing w:after="60"/>
        <w:ind w:left="1080"/>
      </w:pPr>
      <w:r>
        <w:t>Other purposes deemed necessary for the successful execution of the proposed project</w:t>
      </w:r>
    </w:p>
    <w:p w14:paraId="1E0B95E4" w14:textId="77777777" w:rsidR="00EA5639" w:rsidRDefault="0044501F" w:rsidP="00EA5639">
      <w:pPr>
        <w:pStyle w:val="ListParagraph"/>
        <w:numPr>
          <w:ilvl w:val="0"/>
          <w:numId w:val="8"/>
        </w:numPr>
        <w:spacing w:after="60"/>
      </w:pPr>
      <w:r>
        <w:t xml:space="preserve">Grant funds may not be budgeted for: </w:t>
      </w:r>
    </w:p>
    <w:p w14:paraId="3D821E79" w14:textId="77777777" w:rsidR="00EA5639" w:rsidRDefault="0044501F" w:rsidP="00EA5639">
      <w:pPr>
        <w:pStyle w:val="ListParagraph"/>
        <w:numPr>
          <w:ilvl w:val="0"/>
          <w:numId w:val="10"/>
        </w:numPr>
        <w:spacing w:after="60"/>
      </w:pPr>
      <w:r>
        <w:t>Salary support for the faculty collaborators</w:t>
      </w:r>
    </w:p>
    <w:p w14:paraId="43D7EF35" w14:textId="77777777" w:rsidR="00EA5639" w:rsidRDefault="0044501F" w:rsidP="00EA5639">
      <w:pPr>
        <w:pStyle w:val="ListParagraph"/>
        <w:numPr>
          <w:ilvl w:val="0"/>
          <w:numId w:val="10"/>
        </w:numPr>
        <w:spacing w:after="60"/>
      </w:pPr>
      <w:r>
        <w:t xml:space="preserve">Effort for </w:t>
      </w:r>
      <w:r w:rsidR="00EA5639">
        <w:t xml:space="preserve">students, </w:t>
      </w:r>
      <w:r>
        <w:t xml:space="preserve">post-doctoral trainees or fellows on training grant equivalents </w:t>
      </w:r>
    </w:p>
    <w:p w14:paraId="4E00A9A2" w14:textId="77777777" w:rsidR="00EA5639" w:rsidRDefault="0044501F" w:rsidP="00EA5639">
      <w:pPr>
        <w:pStyle w:val="ListParagraph"/>
        <w:numPr>
          <w:ilvl w:val="0"/>
          <w:numId w:val="10"/>
        </w:numPr>
        <w:spacing w:after="60"/>
      </w:pPr>
      <w:r>
        <w:t xml:space="preserve">Capital equipment </w:t>
      </w:r>
    </w:p>
    <w:p w14:paraId="0A787C7A" w14:textId="77777777" w:rsidR="00EA5639" w:rsidRDefault="0044501F" w:rsidP="00EA5639">
      <w:pPr>
        <w:pStyle w:val="ListParagraph"/>
        <w:numPr>
          <w:ilvl w:val="0"/>
          <w:numId w:val="10"/>
        </w:numPr>
        <w:spacing w:after="60"/>
      </w:pPr>
      <w:r>
        <w:t xml:space="preserve">Office supplies or communication costs, including printing </w:t>
      </w:r>
    </w:p>
    <w:p w14:paraId="4B4C18E1" w14:textId="77777777" w:rsidR="00EA5639" w:rsidRDefault="0044501F" w:rsidP="00EA5639">
      <w:pPr>
        <w:pStyle w:val="ListParagraph"/>
        <w:numPr>
          <w:ilvl w:val="0"/>
          <w:numId w:val="10"/>
        </w:numPr>
        <w:spacing w:after="60"/>
      </w:pPr>
      <w:r>
        <w:t xml:space="preserve">Meals or travel, including to conferences, except as required to collect data </w:t>
      </w:r>
    </w:p>
    <w:p w14:paraId="4163514C" w14:textId="77777777" w:rsidR="00EA5639" w:rsidRDefault="0044501F" w:rsidP="00EA5639">
      <w:pPr>
        <w:pStyle w:val="ListParagraph"/>
        <w:numPr>
          <w:ilvl w:val="0"/>
          <w:numId w:val="10"/>
        </w:numPr>
        <w:spacing w:after="60"/>
      </w:pPr>
      <w:r>
        <w:t xml:space="preserve">Professional education or training </w:t>
      </w:r>
    </w:p>
    <w:p w14:paraId="1A32971F" w14:textId="77777777" w:rsidR="00EA5639" w:rsidRDefault="0044501F" w:rsidP="00EA5639">
      <w:pPr>
        <w:pStyle w:val="ListParagraph"/>
        <w:numPr>
          <w:ilvl w:val="0"/>
          <w:numId w:val="10"/>
        </w:numPr>
        <w:spacing w:after="60"/>
      </w:pPr>
      <w:r>
        <w:t xml:space="preserve">Computers or audiovisual equipment </w:t>
      </w:r>
    </w:p>
    <w:p w14:paraId="21DC30D1" w14:textId="77777777" w:rsidR="00EA5639" w:rsidRDefault="0044501F" w:rsidP="00EA5639">
      <w:pPr>
        <w:pStyle w:val="ListParagraph"/>
        <w:numPr>
          <w:ilvl w:val="0"/>
          <w:numId w:val="10"/>
        </w:numPr>
        <w:spacing w:after="60"/>
      </w:pPr>
      <w:r>
        <w:t xml:space="preserve">Manuscript preparation and submission </w:t>
      </w:r>
    </w:p>
    <w:p w14:paraId="17499061" w14:textId="77777777" w:rsidR="00EA5639" w:rsidRDefault="0044501F" w:rsidP="00EA5639">
      <w:pPr>
        <w:pStyle w:val="ListParagraph"/>
        <w:numPr>
          <w:ilvl w:val="0"/>
          <w:numId w:val="10"/>
        </w:numPr>
        <w:spacing w:after="60"/>
      </w:pPr>
      <w:r>
        <w:t xml:space="preserve">Indirect costs </w:t>
      </w:r>
    </w:p>
    <w:p w14:paraId="7C349387" w14:textId="77777777" w:rsidR="00EA5639" w:rsidRDefault="0044501F" w:rsidP="00EA5639">
      <w:pPr>
        <w:pStyle w:val="ListParagraph"/>
        <w:numPr>
          <w:ilvl w:val="0"/>
          <w:numId w:val="10"/>
        </w:numPr>
        <w:spacing w:after="60"/>
      </w:pPr>
      <w:r>
        <w:t xml:space="preserve">Subcontracts to other institutions </w:t>
      </w:r>
    </w:p>
    <w:p w14:paraId="080CAE63" w14:textId="77777777" w:rsidR="0044501F" w:rsidRDefault="0044501F" w:rsidP="00EA5639">
      <w:pPr>
        <w:pStyle w:val="ListParagraph"/>
        <w:numPr>
          <w:ilvl w:val="0"/>
          <w:numId w:val="10"/>
        </w:numPr>
        <w:spacing w:after="60"/>
      </w:pPr>
      <w:r>
        <w:t>Foreign components, as defined in the NIH Grants Policy Statement</w:t>
      </w:r>
    </w:p>
    <w:p w14:paraId="698AC7AE" w14:textId="77777777" w:rsidR="00EA5639" w:rsidRDefault="00EA5639" w:rsidP="00EA5639">
      <w:pPr>
        <w:pStyle w:val="ListParagraph"/>
        <w:numPr>
          <w:ilvl w:val="0"/>
          <w:numId w:val="8"/>
        </w:numPr>
        <w:spacing w:after="60"/>
      </w:pPr>
      <w:r>
        <w:t>Awarded funds must be used to conduct the work proposed</w:t>
      </w:r>
      <w:r w:rsidRPr="00CC5B9D">
        <w:t>. MEDx reserves the right to revoke funding i</w:t>
      </w:r>
      <w:r>
        <w:t xml:space="preserve">n the event it is determined that funds were not spent in accordance with the approved proposal. </w:t>
      </w:r>
    </w:p>
    <w:sectPr w:rsidR="00EA5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ABC99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86"/>
    <w:multiLevelType w:val="multilevel"/>
    <w:tmpl w:val="2BD0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27F4"/>
    <w:multiLevelType w:val="multilevel"/>
    <w:tmpl w:val="CABE90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12C12AA8"/>
    <w:multiLevelType w:val="hybridMultilevel"/>
    <w:tmpl w:val="4300B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31337"/>
    <w:multiLevelType w:val="hybridMultilevel"/>
    <w:tmpl w:val="D2AED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5E2ED1"/>
    <w:multiLevelType w:val="hybridMultilevel"/>
    <w:tmpl w:val="A3884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537660"/>
    <w:multiLevelType w:val="hybridMultilevel"/>
    <w:tmpl w:val="2E446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202BB9"/>
    <w:multiLevelType w:val="hybridMultilevel"/>
    <w:tmpl w:val="5C9665F8"/>
    <w:lvl w:ilvl="0" w:tplc="0A665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D602A"/>
    <w:multiLevelType w:val="hybridMultilevel"/>
    <w:tmpl w:val="3E9A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650EE"/>
    <w:multiLevelType w:val="hybridMultilevel"/>
    <w:tmpl w:val="FBB87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8F12E1"/>
    <w:multiLevelType w:val="hybridMultilevel"/>
    <w:tmpl w:val="4AB8E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6369D"/>
    <w:multiLevelType w:val="hybridMultilevel"/>
    <w:tmpl w:val="9266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17"/>
    <w:rsid w:val="00133954"/>
    <w:rsid w:val="00340275"/>
    <w:rsid w:val="00375370"/>
    <w:rsid w:val="0044501F"/>
    <w:rsid w:val="00531817"/>
    <w:rsid w:val="00640F23"/>
    <w:rsid w:val="006C5713"/>
    <w:rsid w:val="0070047B"/>
    <w:rsid w:val="00775B80"/>
    <w:rsid w:val="00780171"/>
    <w:rsid w:val="007C0276"/>
    <w:rsid w:val="00894602"/>
    <w:rsid w:val="008C4371"/>
    <w:rsid w:val="009B0908"/>
    <w:rsid w:val="00C27E05"/>
    <w:rsid w:val="00CC5B9D"/>
    <w:rsid w:val="00D9200A"/>
    <w:rsid w:val="00E26918"/>
    <w:rsid w:val="00E3093B"/>
    <w:rsid w:val="00E71CFE"/>
    <w:rsid w:val="00EA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E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1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1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27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2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00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00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00A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C4371"/>
  </w:style>
  <w:style w:type="character" w:customStyle="1" w:styleId="element-invisible">
    <w:name w:val="element-invisible"/>
    <w:basedOn w:val="DefaultParagraphFont"/>
    <w:rsid w:val="00340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1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1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27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2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00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00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00A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C4371"/>
  </w:style>
  <w:style w:type="character" w:customStyle="1" w:styleId="element-invisible">
    <w:name w:val="element-invisible"/>
    <w:basedOn w:val="DefaultParagraphFont"/>
    <w:rsid w:val="0034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yresearchpropos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lia.s.walker@duke.edu?subject=MEDx%20Cafe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x.duke.edu/happenings/even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tsi.duke.edu/sites/www.ctsi.duke.edu/files/documents/Foundant_Application_Tutioral_Dec_201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 Crenshaw</dc:creator>
  <cp:lastModifiedBy>Donna G Crenshaw</cp:lastModifiedBy>
  <cp:revision>2</cp:revision>
  <dcterms:created xsi:type="dcterms:W3CDTF">2016-11-18T19:54:00Z</dcterms:created>
  <dcterms:modified xsi:type="dcterms:W3CDTF">2016-11-18T19:54:00Z</dcterms:modified>
</cp:coreProperties>
</file>